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375FD" w14:textId="08502641" w:rsidR="00FA7EF0" w:rsidRDefault="00FA7EF0" w:rsidP="00362E2A">
      <w:pPr>
        <w:pStyle w:val="Heading2"/>
        <w:spacing w:before="0" w:after="0"/>
        <w:rPr>
          <w:b w:val="0"/>
          <w:bCs/>
        </w:rPr>
      </w:pPr>
      <w:r>
        <w:rPr>
          <w:b w:val="0"/>
          <w:bCs/>
          <w:noProof/>
        </w:rPr>
        <w:drawing>
          <wp:inline distT="0" distB="0" distL="0" distR="0" wp14:anchorId="05D84802" wp14:editId="7B25E63E">
            <wp:extent cx="4963886" cy="1268548"/>
            <wp:effectExtent l="0" t="0" r="0" b="8255"/>
            <wp:docPr id="1539120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120104" name="Picture 153912010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0732" cy="129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6BBDD" w14:textId="4008F481" w:rsidR="00362E2A" w:rsidRPr="00FA7EF0" w:rsidRDefault="3C120FB6" w:rsidP="6A99A963">
      <w:pPr>
        <w:pStyle w:val="Heading2"/>
        <w:ind w:firstLine="720"/>
        <w:rPr>
          <w:b w:val="0"/>
        </w:rPr>
      </w:pPr>
      <w:r>
        <w:t xml:space="preserve">RHTP Webinar: </w:t>
      </w:r>
      <w:r w:rsidR="00441948">
        <w:t xml:space="preserve">Behavioral Health </w:t>
      </w:r>
      <w:r w:rsidR="002D18A0">
        <w:t>Prevention</w:t>
      </w:r>
      <w:r w:rsidR="31E3F038">
        <w:t xml:space="preserve"> Initiative            </w:t>
      </w:r>
      <w:r w:rsidR="71EF6606">
        <w:t xml:space="preserve">                                                                                                                                     </w:t>
      </w:r>
      <w:r>
        <w:t>Frequently Asked Questions (FAQs)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45"/>
        <w:gridCol w:w="6745"/>
      </w:tblGrid>
      <w:tr w:rsidR="00FA7EF0" w:rsidRPr="00FA7EF0" w14:paraId="392444E4" w14:textId="77777777" w:rsidTr="6A99A963">
        <w:trPr>
          <w:trHeight w:val="593"/>
        </w:trPr>
        <w:tc>
          <w:tcPr>
            <w:tcW w:w="14390" w:type="dxa"/>
            <w:gridSpan w:val="2"/>
            <w:shd w:val="clear" w:color="auto" w:fill="015390"/>
            <w:vAlign w:val="center"/>
          </w:tcPr>
          <w:p w14:paraId="48EFF8B0" w14:textId="1D00B6BE" w:rsidR="00E47D8A" w:rsidRPr="00FA7EF0" w:rsidRDefault="00E47D8A" w:rsidP="00362E2A">
            <w:pPr>
              <w:rPr>
                <w:color w:val="FFFFFF" w:themeColor="background1"/>
              </w:rPr>
            </w:pPr>
            <w:r w:rsidRPr="00FA7EF0">
              <w:rPr>
                <w:b/>
                <w:bCs/>
                <w:color w:val="FFFFFF" w:themeColor="background1"/>
                <w:sz w:val="28"/>
                <w:szCs w:val="28"/>
              </w:rPr>
              <w:t>RHTP</w:t>
            </w:r>
            <w:r w:rsidR="00B2776B">
              <w:rPr>
                <w:b/>
                <w:bCs/>
                <w:color w:val="FFFFFF" w:themeColor="background1"/>
                <w:sz w:val="28"/>
                <w:szCs w:val="28"/>
              </w:rPr>
              <w:t>PRE1 Behavioral Health Prevention</w:t>
            </w:r>
          </w:p>
        </w:tc>
      </w:tr>
      <w:tr w:rsidR="00FA7EF0" w:rsidRPr="00FA7EF0" w14:paraId="77895115" w14:textId="77777777" w:rsidTr="009365A4">
        <w:tc>
          <w:tcPr>
            <w:tcW w:w="7645" w:type="dxa"/>
            <w:shd w:val="clear" w:color="auto" w:fill="015390"/>
          </w:tcPr>
          <w:p w14:paraId="31BB3794" w14:textId="049BED7E" w:rsidR="00E47D8A" w:rsidRPr="00FA7EF0" w:rsidRDefault="00E47D8A" w:rsidP="00362E2A">
            <w:pPr>
              <w:rPr>
                <w:color w:val="FFFFFF" w:themeColor="background1"/>
              </w:rPr>
            </w:pPr>
            <w:r w:rsidRPr="00FA7EF0">
              <w:rPr>
                <w:color w:val="FFFFFF" w:themeColor="background1"/>
              </w:rPr>
              <w:t>Question</w:t>
            </w:r>
          </w:p>
        </w:tc>
        <w:tc>
          <w:tcPr>
            <w:tcW w:w="6745" w:type="dxa"/>
            <w:shd w:val="clear" w:color="auto" w:fill="015390"/>
          </w:tcPr>
          <w:p w14:paraId="7650097F" w14:textId="484069C3" w:rsidR="00E47D8A" w:rsidRPr="00FA7EF0" w:rsidRDefault="00E47D8A" w:rsidP="00362E2A">
            <w:pPr>
              <w:rPr>
                <w:color w:val="FFFFFF" w:themeColor="background1"/>
              </w:rPr>
            </w:pPr>
            <w:r w:rsidRPr="00FA7EF0">
              <w:rPr>
                <w:color w:val="FFFFFF" w:themeColor="background1"/>
              </w:rPr>
              <w:t>Response</w:t>
            </w:r>
          </w:p>
        </w:tc>
      </w:tr>
      <w:tr w:rsidR="00E47D8A" w14:paraId="0523FDDA" w14:textId="77777777" w:rsidTr="009365A4">
        <w:tc>
          <w:tcPr>
            <w:tcW w:w="7645" w:type="dxa"/>
          </w:tcPr>
          <w:p w14:paraId="63EDC2AF" w14:textId="5D17400E" w:rsidR="00E47D8A" w:rsidRPr="004661F8" w:rsidRDefault="006A6F54" w:rsidP="004661F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6A6F54">
              <w:rPr>
                <w:sz w:val="20"/>
                <w:szCs w:val="20"/>
              </w:rPr>
              <w:t xml:space="preserve">The cover page identifies an anticipated project period of 10/12/26-09/30/31 and states that up to $400,000 annually is available.  Section 3.1 identifies a period of performance of 10/12/26-09/30/27 awards of $100,000-$200,000 with no continuation funding.  </w:t>
            </w:r>
            <w:r w:rsidR="00E12F74" w:rsidRPr="006A6F54">
              <w:rPr>
                <w:sz w:val="20"/>
                <w:szCs w:val="20"/>
              </w:rPr>
              <w:t>Should applicants</w:t>
            </w:r>
            <w:r w:rsidRPr="006A6F54">
              <w:rPr>
                <w:sz w:val="20"/>
                <w:szCs w:val="20"/>
              </w:rPr>
              <w:t xml:space="preserve"> prepare a one-year project and budget and no more than $200,000, or should applications address a multi-year project period through 2031?</w:t>
            </w:r>
          </w:p>
        </w:tc>
        <w:tc>
          <w:tcPr>
            <w:tcW w:w="6745" w:type="dxa"/>
          </w:tcPr>
          <w:p w14:paraId="3352A8D7" w14:textId="2B553DB3" w:rsidR="00BB6716" w:rsidRPr="001A08E4" w:rsidRDefault="002F4126" w:rsidP="6A99A963">
            <w:pPr>
              <w:rPr>
                <w:sz w:val="20"/>
                <w:szCs w:val="20"/>
              </w:rPr>
            </w:pPr>
            <w:r w:rsidRPr="001A08E4">
              <w:rPr>
                <w:sz w:val="20"/>
                <w:szCs w:val="20"/>
              </w:rPr>
              <w:t>Up to $400,000 annually is available and may be divided among up to 4 awardees. Applicants should prepare a one-year project/budget with no more than $200,000. Applicants have the option to submit a work plan for all 5 years, prioritizing milestones for Year 1. DHW submits a non-compete continuation application every August which will determine funding beyond the initial award period.</w:t>
            </w:r>
            <w:r w:rsidRPr="001A08E4">
              <w:rPr>
                <w:rFonts w:ascii="Arial" w:hAnsi="Arial" w:cs="Arial"/>
                <w:sz w:val="20"/>
                <w:szCs w:val="20"/>
              </w:rPr>
              <w:t>​</w:t>
            </w:r>
          </w:p>
        </w:tc>
      </w:tr>
      <w:tr w:rsidR="00D06482" w14:paraId="2AB25436" w14:textId="77777777" w:rsidTr="009365A4">
        <w:tc>
          <w:tcPr>
            <w:tcW w:w="7645" w:type="dxa"/>
          </w:tcPr>
          <w:p w14:paraId="69EFDADB" w14:textId="4BF899F8" w:rsidR="00D06482" w:rsidRPr="004661F8" w:rsidRDefault="004661F8" w:rsidP="004661F8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661F8">
              <w:rPr>
                <w:sz w:val="20"/>
                <w:szCs w:val="20"/>
              </w:rPr>
              <w:t xml:space="preserve">Section </w:t>
            </w:r>
            <w:r w:rsidRPr="004661F8">
              <w:rPr>
                <w:sz w:val="20"/>
                <w:szCs w:val="20"/>
              </w:rPr>
              <w:t>3.</w:t>
            </w:r>
            <w:r w:rsidRPr="004661F8">
              <w:rPr>
                <w:sz w:val="20"/>
                <w:szCs w:val="20"/>
              </w:rPr>
              <w:t>1 of the solicitation identifies the subaward type as “Fixed Amount, while Section 4.3 states that subawards will be issued on a reimbursement basis.   Can you clarify how payments will be structured?</w:t>
            </w:r>
          </w:p>
        </w:tc>
        <w:tc>
          <w:tcPr>
            <w:tcW w:w="6745" w:type="dxa"/>
          </w:tcPr>
          <w:p w14:paraId="31ABE664" w14:textId="1E36DD76" w:rsidR="00D06482" w:rsidRPr="001A08E4" w:rsidRDefault="004661F8" w:rsidP="00CB65B7">
            <w:pPr>
              <w:spacing w:before="100" w:beforeAutospacing="1" w:after="100" w:afterAutospacing="1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All posted RHTP grant funding opportunities are set up as cost reimbursement.</w:t>
            </w:r>
          </w:p>
        </w:tc>
      </w:tr>
      <w:tr w:rsidR="00E47D8A" w:rsidRPr="001A08E4" w14:paraId="562DAA33" w14:textId="77777777" w:rsidTr="009365A4">
        <w:trPr>
          <w:trHeight w:val="1052"/>
        </w:trPr>
        <w:tc>
          <w:tcPr>
            <w:tcW w:w="7645" w:type="dxa"/>
          </w:tcPr>
          <w:p w14:paraId="69F88DE2" w14:textId="7ACD7C8E" w:rsidR="00011282" w:rsidRPr="00714887" w:rsidRDefault="00714887" w:rsidP="00714887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714887">
              <w:rPr>
                <w:sz w:val="20"/>
                <w:szCs w:val="20"/>
              </w:rPr>
              <w:t xml:space="preserve">Please confirm that the 10% administrative cost limitation applies to administrative/indirect costs and does not include personnel performing direct programmatic activities that are properly allocated </w:t>
            </w:r>
            <w:r w:rsidR="006F4116" w:rsidRPr="00714887">
              <w:rPr>
                <w:sz w:val="20"/>
                <w:szCs w:val="20"/>
              </w:rPr>
              <w:t>to the</w:t>
            </w:r>
            <w:r w:rsidRPr="00714887">
              <w:rPr>
                <w:sz w:val="20"/>
                <w:szCs w:val="20"/>
              </w:rPr>
              <w:t xml:space="preserve"> project.</w:t>
            </w:r>
          </w:p>
        </w:tc>
        <w:tc>
          <w:tcPr>
            <w:tcW w:w="6745" w:type="dxa"/>
          </w:tcPr>
          <w:p w14:paraId="7F680FA8" w14:textId="7DD1C96E" w:rsidR="00BB6716" w:rsidRPr="006F4116" w:rsidRDefault="006F4116" w:rsidP="004B540E">
            <w:pPr>
              <w:spacing w:before="100" w:beforeAutospacing="1" w:after="100" w:afterAutospacing="1"/>
              <w:rPr>
                <w:rFonts w:eastAsia="Times New Roman" w:cs="Calibri"/>
                <w:sz w:val="20"/>
                <w:szCs w:val="20"/>
              </w:rPr>
            </w:pPr>
            <w:r w:rsidRPr="006F4116">
              <w:rPr>
                <w:rFonts w:eastAsia="Times New Roman" w:cs="Calibri"/>
                <w:sz w:val="20"/>
                <w:szCs w:val="20"/>
              </w:rPr>
              <w:t xml:space="preserve">The 10% cap covers all administrative costs, including direct administrative expenses and indirect costs (overhead).  This applies </w:t>
            </w:r>
            <w:r w:rsidRPr="006F4116">
              <w:rPr>
                <w:rFonts w:eastAsia="Times New Roman" w:cs="Calibri"/>
                <w:sz w:val="20"/>
                <w:szCs w:val="20"/>
              </w:rPr>
              <w:t>to the</w:t>
            </w:r>
            <w:r w:rsidRPr="006F4116">
              <w:rPr>
                <w:rFonts w:eastAsia="Times New Roman" w:cs="Calibri"/>
                <w:sz w:val="20"/>
                <w:szCs w:val="20"/>
              </w:rPr>
              <w:t xml:space="preserve"> award itself </w:t>
            </w:r>
            <w:proofErr w:type="gramStart"/>
            <w:r w:rsidRPr="006F4116">
              <w:rPr>
                <w:rFonts w:eastAsia="Times New Roman" w:cs="Calibri"/>
                <w:sz w:val="20"/>
                <w:szCs w:val="20"/>
              </w:rPr>
              <w:t xml:space="preserve">and </w:t>
            </w:r>
            <w:r w:rsidRPr="006F4116">
              <w:rPr>
                <w:rFonts w:eastAsia="Times New Roman" w:cs="Calibri"/>
                <w:sz w:val="20"/>
                <w:szCs w:val="20"/>
              </w:rPr>
              <w:t>also</w:t>
            </w:r>
            <w:proofErr w:type="gramEnd"/>
            <w:r w:rsidRPr="006F4116">
              <w:rPr>
                <w:rFonts w:eastAsia="Times New Roman" w:cs="Calibri"/>
                <w:sz w:val="20"/>
                <w:szCs w:val="20"/>
              </w:rPr>
              <w:t xml:space="preserve"> </w:t>
            </w:r>
            <w:r w:rsidR="006A4763" w:rsidRPr="006F4116">
              <w:rPr>
                <w:rFonts w:eastAsia="Times New Roman" w:cs="Calibri"/>
                <w:sz w:val="20"/>
                <w:szCs w:val="20"/>
              </w:rPr>
              <w:t>to subrecipients</w:t>
            </w:r>
            <w:r w:rsidRPr="006F4116">
              <w:rPr>
                <w:rFonts w:eastAsia="Times New Roman" w:cs="Calibri"/>
                <w:sz w:val="20"/>
                <w:szCs w:val="20"/>
              </w:rPr>
              <w:t>, meaning each subrecipient’s administrative costs must stay within 10% of their subaward amount.</w:t>
            </w:r>
          </w:p>
        </w:tc>
      </w:tr>
      <w:tr w:rsidR="00E47D8A" w:rsidRPr="001A08E4" w14:paraId="4259E7BD" w14:textId="77777777" w:rsidTr="009365A4">
        <w:tc>
          <w:tcPr>
            <w:tcW w:w="7645" w:type="dxa"/>
          </w:tcPr>
          <w:p w14:paraId="30E73E45" w14:textId="6D8B51B6" w:rsidR="00011282" w:rsidRPr="00925FBF" w:rsidRDefault="00925FBF" w:rsidP="00925FB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25FBF">
              <w:rPr>
                <w:sz w:val="20"/>
                <w:szCs w:val="20"/>
              </w:rPr>
              <w:t xml:space="preserve">Must a Boise-based for-profit applicant have a formal rural partner or rural service location?  Or would a defined </w:t>
            </w:r>
            <w:r w:rsidR="00977098" w:rsidRPr="00925FBF">
              <w:rPr>
                <w:sz w:val="20"/>
                <w:szCs w:val="20"/>
              </w:rPr>
              <w:t>eligible rural</w:t>
            </w:r>
            <w:r w:rsidRPr="00925FBF">
              <w:rPr>
                <w:sz w:val="20"/>
                <w:szCs w:val="20"/>
              </w:rPr>
              <w:t xml:space="preserve"> service area with documented rural participant reach be sufficient?</w:t>
            </w:r>
          </w:p>
        </w:tc>
        <w:tc>
          <w:tcPr>
            <w:tcW w:w="6745" w:type="dxa"/>
          </w:tcPr>
          <w:p w14:paraId="324CAB71" w14:textId="4B76663B" w:rsidR="00BB6716" w:rsidRPr="001A08E4" w:rsidRDefault="00977098" w:rsidP="6A99A963">
            <w:pPr>
              <w:rPr>
                <w:sz w:val="20"/>
                <w:szCs w:val="20"/>
              </w:rPr>
            </w:pPr>
            <w:r w:rsidRPr="00977098">
              <w:rPr>
                <w:sz w:val="20"/>
                <w:szCs w:val="20"/>
              </w:rPr>
              <w:t xml:space="preserve">An urban for-profit applicant does not have to </w:t>
            </w:r>
            <w:r w:rsidRPr="00977098">
              <w:rPr>
                <w:sz w:val="20"/>
                <w:szCs w:val="20"/>
              </w:rPr>
              <w:t>have a</w:t>
            </w:r>
            <w:r w:rsidRPr="00977098">
              <w:rPr>
                <w:sz w:val="20"/>
                <w:szCs w:val="20"/>
              </w:rPr>
              <w:t xml:space="preserve"> formal rural partner or service location.  The Applicant must provide a </w:t>
            </w:r>
            <w:r w:rsidRPr="00977098">
              <w:rPr>
                <w:sz w:val="20"/>
                <w:szCs w:val="20"/>
              </w:rPr>
              <w:t>comprehensive plan</w:t>
            </w:r>
            <w:r w:rsidRPr="00977098">
              <w:rPr>
                <w:sz w:val="20"/>
                <w:szCs w:val="20"/>
              </w:rPr>
              <w:t xml:space="preserve"> for how they will provide services to rural locations.  Awardees will be required to provide proof of rural service delivery.</w:t>
            </w:r>
          </w:p>
        </w:tc>
      </w:tr>
      <w:tr w:rsidR="004F6B36" w:rsidRPr="001A08E4" w14:paraId="470C26C3" w14:textId="77777777" w:rsidTr="009365A4">
        <w:tc>
          <w:tcPr>
            <w:tcW w:w="7645" w:type="dxa"/>
          </w:tcPr>
          <w:p w14:paraId="52400231" w14:textId="3D776D39" w:rsidR="004F6B36" w:rsidRPr="004F6B36" w:rsidRDefault="004F6B36" w:rsidP="004F6B3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F6B36">
              <w:rPr>
                <w:sz w:val="20"/>
                <w:szCs w:val="20"/>
              </w:rPr>
              <w:t>As a follow-up, specifically for the behavioral health opportunity: Is hiring a peer support specialist to serve rural youth with evidence-based prevention and other programming an allowable expense, or does this fall outside the intended scope/use of funds?</w:t>
            </w:r>
          </w:p>
        </w:tc>
        <w:tc>
          <w:tcPr>
            <w:tcW w:w="6745" w:type="dxa"/>
          </w:tcPr>
          <w:p w14:paraId="7CA0FCB8" w14:textId="348A3108" w:rsidR="004F6B36" w:rsidRPr="00977098" w:rsidRDefault="004F6B36" w:rsidP="6A99A9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RHTP Program staff will coordinate with our Behavioral Health Program and provide a response by Friday, September 11</w:t>
            </w:r>
            <w:r w:rsidRPr="004F6B3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</w:tbl>
    <w:p w14:paraId="05BE427A" w14:textId="0E8C5E42" w:rsidR="5E6BDDCE" w:rsidRPr="001A08E4" w:rsidRDefault="5E6BDDCE" w:rsidP="5E6BDDCE">
      <w:pPr>
        <w:rPr>
          <w:sz w:val="20"/>
          <w:szCs w:val="20"/>
        </w:rPr>
      </w:pPr>
    </w:p>
    <w:p w14:paraId="525B85F4" w14:textId="392F4E27" w:rsidR="5E6BDDCE" w:rsidRPr="001A08E4" w:rsidRDefault="5E6BDDCE" w:rsidP="5E6BDDCE">
      <w:pPr>
        <w:rPr>
          <w:sz w:val="20"/>
          <w:szCs w:val="20"/>
        </w:rPr>
      </w:pPr>
    </w:p>
    <w:p w14:paraId="4DEC4E47" w14:textId="1E5D12DD" w:rsidR="00362E2A" w:rsidRPr="00362E2A" w:rsidRDefault="56806A95" w:rsidP="5E6BDDCE">
      <w:pPr>
        <w:rPr>
          <w:sz w:val="20"/>
          <w:szCs w:val="20"/>
        </w:rPr>
      </w:pPr>
      <w:r w:rsidRPr="5E6BDDCE">
        <w:rPr>
          <w:sz w:val="20"/>
          <w:szCs w:val="20"/>
        </w:rPr>
        <w:t>This document was supported by the Centers for Medicare &amp; Medicaid Services (CMS) of the U.S. Department of Health and Human Services (HHS) as part of a financial assistance award totaling one hundred eighty-five million nine hundred seventy-four thousand three hundred sixty-seven dollars and eighty-one cents ($185,974,367.81) with one hundred percent (100%) funded by CMS/HHS. The contents are those of the author(s) and do not necessarily represent the official views of, nor an endorsement, by CMS/HHS, or the U.S. Government.</w:t>
      </w:r>
    </w:p>
    <w:p w14:paraId="0BE04C20" w14:textId="3D3F62C4" w:rsidR="00362E2A" w:rsidRPr="00362E2A" w:rsidRDefault="00362E2A" w:rsidP="00362E2A"/>
    <w:p w14:paraId="7F872FA1" w14:textId="77777777" w:rsidR="000F27F7" w:rsidRDefault="000F27F7" w:rsidP="00362E2A">
      <w:pPr>
        <w:jc w:val="center"/>
      </w:pPr>
    </w:p>
    <w:sectPr w:rsidR="000F27F7" w:rsidSect="00362E2A"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CBD20" w14:textId="77777777" w:rsidR="008806CD" w:rsidRDefault="008806CD" w:rsidP="00FA7EF0">
      <w:pPr>
        <w:spacing w:before="0" w:after="0"/>
      </w:pPr>
      <w:r>
        <w:separator/>
      </w:r>
    </w:p>
  </w:endnote>
  <w:endnote w:type="continuationSeparator" w:id="0">
    <w:p w14:paraId="5F939420" w14:textId="77777777" w:rsidR="008806CD" w:rsidRDefault="008806CD" w:rsidP="00FA7EF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ADFFA" w14:textId="01697C61" w:rsidR="006B022E" w:rsidRDefault="004A546B">
    <w:pPr>
      <w:pStyle w:val="Footer"/>
      <w:jc w:val="right"/>
    </w:pPr>
    <w:r>
      <w:t xml:space="preserve">September 9, </w:t>
    </w:r>
    <w:proofErr w:type="gramStart"/>
    <w:r>
      <w:t>2026</w:t>
    </w:r>
    <w:proofErr w:type="gramEnd"/>
    <w:r w:rsidR="006B022E">
      <w:tab/>
    </w:r>
    <w:r w:rsidR="006B022E">
      <w:tab/>
      <w:t xml:space="preserve">RHTP Solicitation FAQs: </w:t>
    </w:r>
    <w:r w:rsidR="00977098">
      <w:t xml:space="preserve">Behavioral Health </w:t>
    </w:r>
    <w:r>
      <w:t>Prevention</w:t>
    </w:r>
    <w:r w:rsidR="006B022E">
      <w:tab/>
    </w:r>
    <w:r w:rsidR="006B022E">
      <w:tab/>
    </w:r>
    <w:r w:rsidR="006B022E">
      <w:tab/>
    </w:r>
    <w:r w:rsidR="006B022E">
      <w:tab/>
    </w:r>
    <w:r w:rsidR="006B022E">
      <w:tab/>
    </w:r>
    <w:r w:rsidR="006B022E">
      <w:tab/>
      <w:t xml:space="preserve">  </w:t>
    </w:r>
    <w:sdt>
      <w:sdtPr>
        <w:id w:val="-15712653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6B022E">
          <w:fldChar w:fldCharType="begin"/>
        </w:r>
        <w:r w:rsidR="006B022E">
          <w:instrText xml:space="preserve"> PAGE   \* MERGEFORMAT </w:instrText>
        </w:r>
        <w:r w:rsidR="006B022E">
          <w:fldChar w:fldCharType="separate"/>
        </w:r>
        <w:r w:rsidR="006B022E">
          <w:rPr>
            <w:noProof/>
          </w:rPr>
          <w:t>2</w:t>
        </w:r>
        <w:r w:rsidR="006B022E">
          <w:rPr>
            <w:noProof/>
          </w:rPr>
          <w:fldChar w:fldCharType="end"/>
        </w:r>
      </w:sdtContent>
    </w:sdt>
  </w:p>
  <w:p w14:paraId="610DEACA" w14:textId="13CEFA74" w:rsidR="00FA7EF0" w:rsidRDefault="00FA7E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A0E7D" w14:textId="77777777" w:rsidR="008806CD" w:rsidRDefault="008806CD" w:rsidP="00FA7EF0">
      <w:pPr>
        <w:spacing w:before="0" w:after="0"/>
      </w:pPr>
      <w:r>
        <w:separator/>
      </w:r>
    </w:p>
  </w:footnote>
  <w:footnote w:type="continuationSeparator" w:id="0">
    <w:p w14:paraId="5593809F" w14:textId="77777777" w:rsidR="008806CD" w:rsidRDefault="008806CD" w:rsidP="00FA7EF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D51E5"/>
    <w:multiLevelType w:val="hybridMultilevel"/>
    <w:tmpl w:val="1564F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00955"/>
    <w:multiLevelType w:val="hybridMultilevel"/>
    <w:tmpl w:val="42C4C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E142B"/>
    <w:multiLevelType w:val="hybridMultilevel"/>
    <w:tmpl w:val="A6323C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F649A0"/>
    <w:multiLevelType w:val="hybridMultilevel"/>
    <w:tmpl w:val="D8AA6B2A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3FA881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2E132E"/>
    <w:multiLevelType w:val="hybridMultilevel"/>
    <w:tmpl w:val="75ACED04"/>
    <w:lvl w:ilvl="0" w:tplc="FFFFFFFF">
      <w:start w:val="1"/>
      <w:numFmt w:val="upperLetter"/>
      <w:lvlText w:val="%1."/>
      <w:lvlJc w:val="left"/>
      <w:pPr>
        <w:ind w:left="360" w:hanging="360"/>
      </w:pPr>
    </w:lvl>
    <w:lvl w:ilvl="1" w:tplc="3FA881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2051AB"/>
    <w:multiLevelType w:val="multilevel"/>
    <w:tmpl w:val="9DE00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B673AD"/>
    <w:multiLevelType w:val="hybridMultilevel"/>
    <w:tmpl w:val="9A681194"/>
    <w:lvl w:ilvl="0" w:tplc="C0947714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F68FF"/>
    <w:multiLevelType w:val="hybridMultilevel"/>
    <w:tmpl w:val="40BE4934"/>
    <w:lvl w:ilvl="0" w:tplc="FFFFFFFF">
      <w:start w:val="1"/>
      <w:numFmt w:val="upperLetter"/>
      <w:lvlText w:val="%1.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1B6F7C"/>
    <w:multiLevelType w:val="hybridMultilevel"/>
    <w:tmpl w:val="E7F070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7CAAD94">
      <w:start w:val="1"/>
      <w:numFmt w:val="lowerLetter"/>
      <w:lvlText w:val="%2."/>
      <w:lvlJc w:val="left"/>
      <w:pPr>
        <w:ind w:left="1080" w:hanging="360"/>
      </w:pPr>
      <w:rPr>
        <w:rFonts w:asciiTheme="minorHAnsi" w:eastAsia="Times New Roman" w:hAnsiTheme="minorHAnsi" w:cs="Calibri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A460163"/>
    <w:multiLevelType w:val="hybridMultilevel"/>
    <w:tmpl w:val="CDC4839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C94F47"/>
    <w:multiLevelType w:val="hybridMultilevel"/>
    <w:tmpl w:val="3212260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13C4BCA"/>
    <w:multiLevelType w:val="hybridMultilevel"/>
    <w:tmpl w:val="A978132C"/>
    <w:lvl w:ilvl="0" w:tplc="3FA881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91B4735"/>
    <w:multiLevelType w:val="hybridMultilevel"/>
    <w:tmpl w:val="2B104F0A"/>
    <w:lvl w:ilvl="0" w:tplc="FFFFFFFF">
      <w:start w:val="1"/>
      <w:numFmt w:val="upperLetter"/>
      <w:lvlText w:val="%1.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AC3174"/>
    <w:multiLevelType w:val="hybridMultilevel"/>
    <w:tmpl w:val="D52A63A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2069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1491179">
    <w:abstractNumId w:val="1"/>
  </w:num>
  <w:num w:numId="3" w16cid:durableId="1234780276">
    <w:abstractNumId w:val="6"/>
  </w:num>
  <w:num w:numId="4" w16cid:durableId="1481966224">
    <w:abstractNumId w:val="8"/>
  </w:num>
  <w:num w:numId="5" w16cid:durableId="1012343385">
    <w:abstractNumId w:val="9"/>
  </w:num>
  <w:num w:numId="6" w16cid:durableId="1309821859">
    <w:abstractNumId w:val="13"/>
  </w:num>
  <w:num w:numId="7" w16cid:durableId="2110808171">
    <w:abstractNumId w:val="3"/>
  </w:num>
  <w:num w:numId="8" w16cid:durableId="1863084787">
    <w:abstractNumId w:val="4"/>
  </w:num>
  <w:num w:numId="9" w16cid:durableId="1264192281">
    <w:abstractNumId w:val="11"/>
  </w:num>
  <w:num w:numId="10" w16cid:durableId="71782158">
    <w:abstractNumId w:val="12"/>
  </w:num>
  <w:num w:numId="11" w16cid:durableId="1395619982">
    <w:abstractNumId w:val="7"/>
  </w:num>
  <w:num w:numId="12" w16cid:durableId="755440108">
    <w:abstractNumId w:val="10"/>
  </w:num>
  <w:num w:numId="13" w16cid:durableId="1726445507">
    <w:abstractNumId w:val="2"/>
  </w:num>
  <w:num w:numId="14" w16cid:durableId="5077188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E2A"/>
    <w:rsid w:val="00011282"/>
    <w:rsid w:val="00044B97"/>
    <w:rsid w:val="00055703"/>
    <w:rsid w:val="00055FD6"/>
    <w:rsid w:val="00072F50"/>
    <w:rsid w:val="000807BD"/>
    <w:rsid w:val="00080AE7"/>
    <w:rsid w:val="000A2E28"/>
    <w:rsid w:val="000E6BBD"/>
    <w:rsid w:val="000F27F7"/>
    <w:rsid w:val="001046D2"/>
    <w:rsid w:val="00175980"/>
    <w:rsid w:val="001928C7"/>
    <w:rsid w:val="001A08E4"/>
    <w:rsid w:val="001A457D"/>
    <w:rsid w:val="001D5E09"/>
    <w:rsid w:val="00202908"/>
    <w:rsid w:val="002035D6"/>
    <w:rsid w:val="0021055B"/>
    <w:rsid w:val="00225344"/>
    <w:rsid w:val="00230475"/>
    <w:rsid w:val="002310F9"/>
    <w:rsid w:val="002643C1"/>
    <w:rsid w:val="00296692"/>
    <w:rsid w:val="002A577B"/>
    <w:rsid w:val="002A7C4C"/>
    <w:rsid w:val="002C6BF9"/>
    <w:rsid w:val="002C6EC3"/>
    <w:rsid w:val="002D18A0"/>
    <w:rsid w:val="002F4126"/>
    <w:rsid w:val="00324B8D"/>
    <w:rsid w:val="0032741F"/>
    <w:rsid w:val="00341C51"/>
    <w:rsid w:val="00362E2A"/>
    <w:rsid w:val="004211C1"/>
    <w:rsid w:val="00441948"/>
    <w:rsid w:val="004661F8"/>
    <w:rsid w:val="0047370E"/>
    <w:rsid w:val="004802CF"/>
    <w:rsid w:val="00481768"/>
    <w:rsid w:val="0048787E"/>
    <w:rsid w:val="004A546B"/>
    <w:rsid w:val="004A6FBA"/>
    <w:rsid w:val="004B013D"/>
    <w:rsid w:val="004B540E"/>
    <w:rsid w:val="004F49CC"/>
    <w:rsid w:val="004F6B36"/>
    <w:rsid w:val="005034AB"/>
    <w:rsid w:val="00514839"/>
    <w:rsid w:val="00552645"/>
    <w:rsid w:val="0056594E"/>
    <w:rsid w:val="0059254D"/>
    <w:rsid w:val="005A0D3D"/>
    <w:rsid w:val="005A78D6"/>
    <w:rsid w:val="005B4B52"/>
    <w:rsid w:val="005C1F8D"/>
    <w:rsid w:val="005D35C8"/>
    <w:rsid w:val="00603B24"/>
    <w:rsid w:val="00604052"/>
    <w:rsid w:val="00605549"/>
    <w:rsid w:val="006453EC"/>
    <w:rsid w:val="00646803"/>
    <w:rsid w:val="00664075"/>
    <w:rsid w:val="00674DD1"/>
    <w:rsid w:val="0069143E"/>
    <w:rsid w:val="006A0E9A"/>
    <w:rsid w:val="006A4763"/>
    <w:rsid w:val="006A6F54"/>
    <w:rsid w:val="006B022E"/>
    <w:rsid w:val="006D3D59"/>
    <w:rsid w:val="006F4116"/>
    <w:rsid w:val="007135B8"/>
    <w:rsid w:val="00714887"/>
    <w:rsid w:val="0072196D"/>
    <w:rsid w:val="007333D1"/>
    <w:rsid w:val="007606AF"/>
    <w:rsid w:val="007621D6"/>
    <w:rsid w:val="007646D3"/>
    <w:rsid w:val="00766EE3"/>
    <w:rsid w:val="007B59B3"/>
    <w:rsid w:val="007D3C59"/>
    <w:rsid w:val="007E28D0"/>
    <w:rsid w:val="007E3A61"/>
    <w:rsid w:val="00826556"/>
    <w:rsid w:val="008806CD"/>
    <w:rsid w:val="0088372E"/>
    <w:rsid w:val="008A32B6"/>
    <w:rsid w:val="008F1FA1"/>
    <w:rsid w:val="00900384"/>
    <w:rsid w:val="00925FBF"/>
    <w:rsid w:val="009365A4"/>
    <w:rsid w:val="00947CD4"/>
    <w:rsid w:val="00977098"/>
    <w:rsid w:val="009836BE"/>
    <w:rsid w:val="009F3B63"/>
    <w:rsid w:val="009F6D75"/>
    <w:rsid w:val="00A016F2"/>
    <w:rsid w:val="00A55E45"/>
    <w:rsid w:val="00A946A9"/>
    <w:rsid w:val="00A964E1"/>
    <w:rsid w:val="00AC679D"/>
    <w:rsid w:val="00AF0C8D"/>
    <w:rsid w:val="00B06AA9"/>
    <w:rsid w:val="00B2776B"/>
    <w:rsid w:val="00B47F63"/>
    <w:rsid w:val="00B7083C"/>
    <w:rsid w:val="00BA47F1"/>
    <w:rsid w:val="00BB456F"/>
    <w:rsid w:val="00BB6716"/>
    <w:rsid w:val="00BC7E4B"/>
    <w:rsid w:val="00BF63CC"/>
    <w:rsid w:val="00BF6547"/>
    <w:rsid w:val="00C676A0"/>
    <w:rsid w:val="00C76042"/>
    <w:rsid w:val="00CB077D"/>
    <w:rsid w:val="00CB65B7"/>
    <w:rsid w:val="00D06482"/>
    <w:rsid w:val="00D147B2"/>
    <w:rsid w:val="00DA024E"/>
    <w:rsid w:val="00DC7913"/>
    <w:rsid w:val="00DD0BCE"/>
    <w:rsid w:val="00E066AC"/>
    <w:rsid w:val="00E12F74"/>
    <w:rsid w:val="00E47D8A"/>
    <w:rsid w:val="00E52A73"/>
    <w:rsid w:val="00E64A94"/>
    <w:rsid w:val="00E761B3"/>
    <w:rsid w:val="00EB2D4E"/>
    <w:rsid w:val="00EB41E4"/>
    <w:rsid w:val="00EC7742"/>
    <w:rsid w:val="00ED0DF2"/>
    <w:rsid w:val="00EF539B"/>
    <w:rsid w:val="00F369BA"/>
    <w:rsid w:val="00F97475"/>
    <w:rsid w:val="00FA7EF0"/>
    <w:rsid w:val="00FC399A"/>
    <w:rsid w:val="00FE0997"/>
    <w:rsid w:val="018583C9"/>
    <w:rsid w:val="019890FC"/>
    <w:rsid w:val="068973FB"/>
    <w:rsid w:val="0863538E"/>
    <w:rsid w:val="0BA3434C"/>
    <w:rsid w:val="0CB1E4A2"/>
    <w:rsid w:val="102DA708"/>
    <w:rsid w:val="10FCE95D"/>
    <w:rsid w:val="182A7558"/>
    <w:rsid w:val="1C90C528"/>
    <w:rsid w:val="231BDF56"/>
    <w:rsid w:val="29A044F5"/>
    <w:rsid w:val="2AB9C754"/>
    <w:rsid w:val="2BDEBE05"/>
    <w:rsid w:val="31E3F038"/>
    <w:rsid w:val="3B1E5036"/>
    <w:rsid w:val="3C120FB6"/>
    <w:rsid w:val="4333BE5F"/>
    <w:rsid w:val="433B85A5"/>
    <w:rsid w:val="4470A90C"/>
    <w:rsid w:val="460CF95C"/>
    <w:rsid w:val="4F4B5818"/>
    <w:rsid w:val="568042AD"/>
    <w:rsid w:val="56806A95"/>
    <w:rsid w:val="5CBF33EB"/>
    <w:rsid w:val="5E6BDDCE"/>
    <w:rsid w:val="647641D6"/>
    <w:rsid w:val="66F26816"/>
    <w:rsid w:val="6A99A963"/>
    <w:rsid w:val="6AD5E4F7"/>
    <w:rsid w:val="71EF6606"/>
    <w:rsid w:val="77441DC2"/>
    <w:rsid w:val="7A5A52F4"/>
    <w:rsid w:val="7B3B5E08"/>
    <w:rsid w:val="7BD8F149"/>
    <w:rsid w:val="7D278B7F"/>
    <w:rsid w:val="7FD1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93CF4"/>
  <w15:chartTrackingRefBased/>
  <w15:docId w15:val="{C730E7AE-A3C6-4617-91AD-A3ACA7A29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EF0"/>
    <w:pPr>
      <w:spacing w:before="60" w:after="120" w:line="240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2E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7EF0"/>
    <w:pPr>
      <w:keepNext/>
      <w:keepLines/>
      <w:spacing w:before="160" w:after="240"/>
      <w:jc w:val="center"/>
      <w:outlineLvl w:val="1"/>
    </w:pPr>
    <w:rPr>
      <w:rFonts w:asciiTheme="majorHAnsi" w:eastAsiaTheme="majorEastAsia" w:hAnsiTheme="majorHAnsi" w:cstheme="majorBidi"/>
      <w:b/>
      <w:color w:val="015390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E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E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E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E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E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E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E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E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A7EF0"/>
    <w:rPr>
      <w:rFonts w:asciiTheme="majorHAnsi" w:eastAsiaTheme="majorEastAsia" w:hAnsiTheme="majorHAnsi" w:cstheme="majorBidi"/>
      <w:b/>
      <w:color w:val="015390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E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E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E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E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E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E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E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E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E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E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E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E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E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3B63"/>
    <w:pPr>
      <w:spacing w:after="60"/>
      <w:ind w:left="720"/>
    </w:pPr>
  </w:style>
  <w:style w:type="character" w:styleId="IntenseEmphasis">
    <w:name w:val="Intense Emphasis"/>
    <w:basedOn w:val="DefaultParagraphFont"/>
    <w:uiPriority w:val="21"/>
    <w:qFormat/>
    <w:rsid w:val="00362E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E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E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E2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47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A47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47F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F0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0C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0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C8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A7EF0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FA7EF0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FA7EF0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FA7EF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9D0A453A26084E825795602896E075" ma:contentTypeVersion="12" ma:contentTypeDescription="Create a new document." ma:contentTypeScope="" ma:versionID="810b5e43fe7df7ab672932068e2d81e0">
  <xsd:schema xmlns:xsd="http://www.w3.org/2001/XMLSchema" xmlns:xs="http://www.w3.org/2001/XMLSchema" xmlns:p="http://schemas.microsoft.com/office/2006/metadata/properties" xmlns:ns2="16f693b2-b3aa-4697-af70-12d8d17e5b76" xmlns:ns3="fbfa9019-6a6e-4069-9c45-7a1f9c3b5378" targetNamespace="http://schemas.microsoft.com/office/2006/metadata/properties" ma:root="true" ma:fieldsID="0c3ae523252fff05cb91c8c85a34a50d" ns2:_="" ns3:_="">
    <xsd:import namespace="16f693b2-b3aa-4697-af70-12d8d17e5b76"/>
    <xsd:import namespace="fbfa9019-6a6e-4069-9c45-7a1f9c3b53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f693b2-b3aa-4697-af70-12d8d17e5b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27e2394-2ede-4396-a584-1d2ae8375a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a9019-6a6e-4069-9c45-7a1f9c3b53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57eb39c-ab61-4ab0-b9af-c6163181c607}" ma:internalName="TaxCatchAll" ma:showField="CatchAllData" ma:web="fbfa9019-6a6e-4069-9c45-7a1f9c3b53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f693b2-b3aa-4697-af70-12d8d17e5b76">
      <Terms xmlns="http://schemas.microsoft.com/office/infopath/2007/PartnerControls"/>
    </lcf76f155ced4ddcb4097134ff3c332f>
    <TaxCatchAll xmlns="fbfa9019-6a6e-4069-9c45-7a1f9c3b5378" xsi:nil="true"/>
  </documentManagement>
</p:properties>
</file>

<file path=customXml/itemProps1.xml><?xml version="1.0" encoding="utf-8"?>
<ds:datastoreItem xmlns:ds="http://schemas.openxmlformats.org/officeDocument/2006/customXml" ds:itemID="{17B5A5B2-4FFA-499E-B0D1-2EA5B7D317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A73A8C-1380-4425-AA09-F0D104EFB9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f693b2-b3aa-4697-af70-12d8d17e5b76"/>
    <ds:schemaRef ds:uri="fbfa9019-6a6e-4069-9c45-7a1f9c3b53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F3BA8A-3A3E-45A3-8646-9B62B036AA61}">
  <ds:schemaRefs>
    <ds:schemaRef ds:uri="http://schemas.microsoft.com/office/2006/metadata/properties"/>
    <ds:schemaRef ds:uri="http://schemas.microsoft.com/office/infopath/2007/PartnerControls"/>
    <ds:schemaRef ds:uri="16f693b2-b3aa-4697-af70-12d8d17e5b76"/>
    <ds:schemaRef ds:uri="fbfa9019-6a6e-4069-9c45-7a1f9c3b537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Humphrey, Katherine</dc:creator>
  <cp:keywords/>
  <dc:description/>
  <cp:lastModifiedBy>Arritola, Cecilia - CO 4th</cp:lastModifiedBy>
  <cp:revision>17</cp:revision>
  <dcterms:created xsi:type="dcterms:W3CDTF">2026-09-09T22:43:00Z</dcterms:created>
  <dcterms:modified xsi:type="dcterms:W3CDTF">2026-09-09T23:09:00Z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0x010100B59D0A453A26084E825795602896E075</vt:lpwstr>
  </property>
</Properties>
</file>